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w:t>
      </w:r>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B07D54" w:rsidP="009D5125">
            <w:pPr>
              <w:rPr>
                <w:rFonts w:asciiTheme="minorHAnsi" w:hAnsiTheme="minorHAnsi"/>
                <w:b/>
                <w:sz w:val="22"/>
                <w:szCs w:val="22"/>
              </w:rPr>
            </w:pPr>
            <w:r w:rsidRPr="00C666FA">
              <w:rPr>
                <w:rFonts w:asciiTheme="minorHAnsi" w:hAnsiTheme="minorHAnsi"/>
                <w:b/>
                <w:sz w:val="22"/>
                <w:szCs w:val="22"/>
              </w:rPr>
              <w:t>Estancia de investigación</w:t>
            </w:r>
            <w:r w:rsidR="00302E82" w:rsidRPr="00C666FA">
              <w:rPr>
                <w:rFonts w:asciiTheme="minorHAnsi" w:hAnsiTheme="minorHAnsi"/>
                <w:b/>
                <w:sz w:val="22"/>
                <w:szCs w:val="22"/>
              </w:rPr>
              <w:t>:</w:t>
            </w:r>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73577B" w:rsidRPr="00C666FA" w:rsidRDefault="00302E82" w:rsidP="0073577B">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w:t>
            </w:r>
            <w:r w:rsidR="00006650">
              <w:rPr>
                <w:rFonts w:asciiTheme="minorHAnsi" w:hAnsiTheme="minorHAnsi"/>
                <w:sz w:val="22"/>
                <w:szCs w:val="22"/>
              </w:rPr>
              <w:t>22</w:t>
            </w:r>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 xml:space="preserve">Declaro que todas las subvenciones recibidas para la actividad referenciada y que ha sido objeto de la ayuda concedida, sumadas no </w:t>
      </w:r>
      <w:bookmarkStart w:id="0" w:name="_GoBack"/>
      <w:bookmarkEnd w:id="0"/>
      <w:r w:rsidR="00F22FF8" w:rsidRPr="00C666FA">
        <w:rPr>
          <w:rFonts w:asciiTheme="minorHAnsi" w:hAnsiTheme="minorHAnsi"/>
          <w:sz w:val="22"/>
          <w:szCs w:val="22"/>
        </w:rPr>
        <w:t>superan el</w:t>
      </w:r>
      <w:r w:rsidRPr="00C666FA">
        <w:rPr>
          <w:rFonts w:asciiTheme="minorHAnsi" w:hAnsiTheme="minorHAnsi"/>
          <w:sz w:val="22"/>
          <w:szCs w:val="22"/>
        </w:rPr>
        <w:t xml:space="preserve">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F22FF8">
        <w:rPr>
          <w:rFonts w:asciiTheme="minorHAnsi" w:hAnsiTheme="minorHAnsi"/>
          <w:noProof/>
          <w:sz w:val="22"/>
          <w:szCs w:val="22"/>
        </w:rPr>
        <w:t>29 de septiembre de 2022</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78" w:rsidRDefault="00C30778">
      <w:r>
        <w:separator/>
      </w:r>
    </w:p>
  </w:endnote>
  <w:endnote w:type="continuationSeparator" w:id="0">
    <w:p w:rsidR="00C30778" w:rsidRDefault="00C3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Humnst BT">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78" w:rsidRDefault="00C30778">
      <w:r>
        <w:separator/>
      </w:r>
    </w:p>
  </w:footnote>
  <w:footnote w:type="continuationSeparator" w:id="0">
    <w:p w:rsidR="00C30778" w:rsidRDefault="00C3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06650"/>
    <w:rsid w:val="000242E6"/>
    <w:rsid w:val="0004236F"/>
    <w:rsid w:val="000733B5"/>
    <w:rsid w:val="000C0788"/>
    <w:rsid w:val="000F03B1"/>
    <w:rsid w:val="001038F0"/>
    <w:rsid w:val="00157394"/>
    <w:rsid w:val="001B543F"/>
    <w:rsid w:val="001C0948"/>
    <w:rsid w:val="001C370B"/>
    <w:rsid w:val="001F279E"/>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2724D"/>
    <w:rsid w:val="0043279D"/>
    <w:rsid w:val="00434BB0"/>
    <w:rsid w:val="00461F6A"/>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62B06"/>
    <w:rsid w:val="006A67A4"/>
    <w:rsid w:val="006D32A0"/>
    <w:rsid w:val="007004A7"/>
    <w:rsid w:val="00707E21"/>
    <w:rsid w:val="00711B8E"/>
    <w:rsid w:val="0073577B"/>
    <w:rsid w:val="00744330"/>
    <w:rsid w:val="007A2859"/>
    <w:rsid w:val="007C2804"/>
    <w:rsid w:val="00811878"/>
    <w:rsid w:val="0083431C"/>
    <w:rsid w:val="00852D1B"/>
    <w:rsid w:val="00883A4D"/>
    <w:rsid w:val="00892BFF"/>
    <w:rsid w:val="00943645"/>
    <w:rsid w:val="0094637C"/>
    <w:rsid w:val="00975B15"/>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E4AEC"/>
    <w:rsid w:val="00AE70FE"/>
    <w:rsid w:val="00B006EB"/>
    <w:rsid w:val="00B06B40"/>
    <w:rsid w:val="00B07D54"/>
    <w:rsid w:val="00B9174F"/>
    <w:rsid w:val="00B95D4A"/>
    <w:rsid w:val="00BA068D"/>
    <w:rsid w:val="00BB4344"/>
    <w:rsid w:val="00BB4A9E"/>
    <w:rsid w:val="00C2459E"/>
    <w:rsid w:val="00C30778"/>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56D4A"/>
    <w:rsid w:val="00E7798C"/>
    <w:rsid w:val="00E83A2B"/>
    <w:rsid w:val="00E90A23"/>
    <w:rsid w:val="00E91159"/>
    <w:rsid w:val="00E92A43"/>
    <w:rsid w:val="00E95867"/>
    <w:rsid w:val="00EC5389"/>
    <w:rsid w:val="00EE1FF6"/>
    <w:rsid w:val="00EF2872"/>
    <w:rsid w:val="00F22FF8"/>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9D3C-3680-4D8F-BD00-BC40EC40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10</cp:revision>
  <cp:lastPrinted>2014-02-21T07:49:00Z</cp:lastPrinted>
  <dcterms:created xsi:type="dcterms:W3CDTF">2019-10-30T09:07:00Z</dcterms:created>
  <dcterms:modified xsi:type="dcterms:W3CDTF">2022-09-29T08:05:00Z</dcterms:modified>
</cp:coreProperties>
</file>