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0A1C09" w:rsidRPr="002C31C9" w:rsidTr="00417501">
        <w:tc>
          <w:tcPr>
            <w:tcW w:w="8494" w:type="dxa"/>
            <w:gridSpan w:val="2"/>
          </w:tcPr>
          <w:p w:rsidR="000A1C09" w:rsidRPr="002C31C9" w:rsidRDefault="000A1C09" w:rsidP="000A1C09">
            <w:pPr>
              <w:jc w:val="center"/>
              <w:rPr>
                <w:rFonts w:ascii="Arial" w:eastAsia="Times New Roman" w:hAnsi="Arial" w:cs="Arial"/>
                <w:b/>
                <w:bCs/>
                <w:lang w:val="en-US" w:eastAsia="es-ES_tradnl"/>
              </w:rPr>
            </w:pPr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MIBAL TFM RAPPORT DU TUTEUR</w:t>
            </w:r>
          </w:p>
          <w:p w:rsidR="000A1C09" w:rsidRPr="002C31C9" w:rsidRDefault="000A1C09" w:rsidP="000A1C09">
            <w:pPr>
              <w:jc w:val="center"/>
              <w:rPr>
                <w:rFonts w:ascii="Arial" w:eastAsia="Times New Roman" w:hAnsi="Arial" w:cs="Arial"/>
                <w:b/>
                <w:bCs/>
                <w:lang w:val="en-US" w:eastAsia="es-ES_tradnl"/>
              </w:rPr>
            </w:pPr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(Si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vous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avez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besoin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de plus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d'espace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,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veuillez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utiliser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une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deuxième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feuille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lang w:val="en-US" w:eastAsia="es-ES_tradnl"/>
              </w:rPr>
              <w:t>.)</w:t>
            </w:r>
          </w:p>
          <w:p w:rsidR="000A1C09" w:rsidRPr="002C31C9" w:rsidRDefault="000A1C09" w:rsidP="000A1C0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A1C09" w:rsidRPr="002C31C9" w:rsidTr="000F0908">
        <w:trPr>
          <w:trHeight w:val="547"/>
        </w:trPr>
        <w:tc>
          <w:tcPr>
            <w:tcW w:w="8494" w:type="dxa"/>
            <w:gridSpan w:val="2"/>
          </w:tcPr>
          <w:p w:rsidR="000A1C09" w:rsidRPr="002C31C9" w:rsidRDefault="000A1C09" w:rsidP="000A1C09">
            <w:pPr>
              <w:rPr>
                <w:rFonts w:ascii="Arial" w:hAnsi="Arial" w:cs="Arial"/>
                <w:b/>
                <w:lang w:val="fr-FR"/>
              </w:rPr>
            </w:pPr>
            <w:r w:rsidRPr="002C31C9">
              <w:rPr>
                <w:rFonts w:ascii="Arial" w:hAnsi="Arial" w:cs="Arial"/>
                <w:b/>
                <w:lang w:val="fr-FR"/>
              </w:rPr>
              <w:t>NOM DE L’ÉTUDIANT:</w:t>
            </w:r>
            <w:r w:rsidR="000B7007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0A1C09" w:rsidRPr="002C31C9" w:rsidRDefault="000A1C09" w:rsidP="000A1C09">
            <w:pPr>
              <w:rPr>
                <w:rFonts w:ascii="Arial" w:hAnsi="Arial" w:cs="Arial"/>
                <w:b/>
                <w:lang w:val="fr-FR"/>
              </w:rPr>
            </w:pPr>
          </w:p>
          <w:p w:rsidR="000A1C09" w:rsidRPr="002C31C9" w:rsidRDefault="000A1C09" w:rsidP="000A1C09">
            <w:pPr>
              <w:rPr>
                <w:rFonts w:ascii="Arial" w:hAnsi="Arial" w:cs="Arial"/>
                <w:b/>
                <w:lang w:val="fr-FR"/>
              </w:rPr>
            </w:pPr>
            <w:r w:rsidRPr="002C31C9">
              <w:rPr>
                <w:rFonts w:ascii="Arial" w:hAnsi="Arial" w:cs="Arial"/>
                <w:b/>
                <w:lang w:val="fr-FR"/>
              </w:rPr>
              <w:t>TFM TITRE:</w:t>
            </w:r>
            <w:r w:rsidR="000B7007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0A1C09" w:rsidRPr="002C31C9" w:rsidRDefault="000A1C09" w:rsidP="000A1C0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A1C09" w:rsidRPr="002C31C9" w:rsidTr="00FD429E">
        <w:tc>
          <w:tcPr>
            <w:tcW w:w="4531" w:type="dxa"/>
          </w:tcPr>
          <w:p w:rsidR="000A1C09" w:rsidRPr="002C31C9" w:rsidRDefault="000A1C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Qualité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du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travail</w:t>
            </w:r>
            <w:proofErr w:type="spellEnd"/>
            <w:r w:rsidRPr="002C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autonome</w:t>
            </w:r>
            <w:proofErr w:type="spellEnd"/>
          </w:p>
        </w:tc>
        <w:tc>
          <w:tcPr>
            <w:tcW w:w="3963" w:type="dxa"/>
          </w:tcPr>
          <w:p w:rsidR="000A1C09" w:rsidRPr="002C31C9" w:rsidRDefault="000A1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 w:rsidP="00522D89">
            <w:pP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2C31C9">
              <w:rPr>
                <w:rFonts w:ascii="Arial" w:eastAsia="Times New Roman" w:hAnsi="Arial" w:cs="Arial"/>
                <w:sz w:val="20"/>
                <w:szCs w:val="20"/>
                <w:lang w:val="fr-FR" w:eastAsia="es-ES_tradnl"/>
              </w:rPr>
              <w:t>1.</w:t>
            </w:r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Le rapport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est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approfondi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et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analyse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en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profondeur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le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sujet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choisi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</w:t>
            </w:r>
          </w:p>
          <w:p w:rsidR="00E0051F" w:rsidRPr="002C31C9" w:rsidRDefault="00E0051F" w:rsidP="00522D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63" w:type="dxa"/>
            <w:vMerge w:val="restart"/>
          </w:tcPr>
          <w:p w:rsidR="00E0051F" w:rsidRPr="002C31C9" w:rsidRDefault="009B544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1C9">
              <w:rPr>
                <w:rFonts w:ascii="Arial" w:hAnsi="Arial" w:cs="Arial"/>
                <w:sz w:val="20"/>
                <w:szCs w:val="20"/>
                <w:lang w:val="fr-FR"/>
              </w:rPr>
              <w:t>2. Le rapport est bien organisé et a des objectifs clairs décrits dans l’introduction. Ces objectifs sont atteints dans le rapport.</w:t>
            </w:r>
          </w:p>
        </w:tc>
        <w:tc>
          <w:tcPr>
            <w:tcW w:w="3963" w:type="dxa"/>
            <w:vMerge/>
          </w:tcPr>
          <w:p w:rsidR="00E0051F" w:rsidRPr="002C31C9" w:rsidRDefault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1C9">
              <w:rPr>
                <w:rFonts w:ascii="Arial" w:hAnsi="Arial" w:cs="Arial"/>
                <w:sz w:val="20"/>
                <w:szCs w:val="20"/>
                <w:lang w:val="fr-FR"/>
              </w:rPr>
              <w:t xml:space="preserve">3. </w:t>
            </w:r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Le rapport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résume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toutes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les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informations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pertinentes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nécessaires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à la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compréhension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du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sujet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.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Aucune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information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pertinente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n’est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manquante</w:t>
            </w:r>
            <w:proofErr w:type="spellEnd"/>
            <w:r w:rsidRPr="002C31C9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</w:t>
            </w:r>
          </w:p>
        </w:tc>
        <w:tc>
          <w:tcPr>
            <w:tcW w:w="3963" w:type="dxa"/>
            <w:vMerge/>
          </w:tcPr>
          <w:p w:rsidR="00E0051F" w:rsidRPr="002C31C9" w:rsidRDefault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4.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Nouveauté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. Le rapport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est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plus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qu’un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excellent résumé des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informations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disponibles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. Il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crée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des </w:t>
            </w:r>
            <w:proofErr w:type="spellStart"/>
            <w:proofErr w:type="gram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connaissances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proofErr w:type="gram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informations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existantes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d’une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manière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qui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apporte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idées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nouvelles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pertinentes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d’une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utilité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pratique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dans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contexte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professionnel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applique des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connaissances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antérieures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dans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contexte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professionnel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spécifique</w:t>
            </w:r>
            <w:proofErr w:type="spellEnd"/>
            <w:r w:rsidRPr="00FD429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963" w:type="dxa"/>
            <w:vMerge/>
          </w:tcPr>
          <w:p w:rsidR="00E0051F" w:rsidRPr="002C31C9" w:rsidRDefault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D429E" w:rsidRPr="002C31C9" w:rsidTr="00FD429E">
        <w:tc>
          <w:tcPr>
            <w:tcW w:w="4531" w:type="dxa"/>
          </w:tcPr>
          <w:p w:rsidR="00FD429E" w:rsidRPr="00C17ABD" w:rsidRDefault="00FD429E" w:rsidP="00FD429E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fr-FR" w:eastAsia="es-ES_tradnl"/>
              </w:rPr>
            </w:pPr>
            <w:r w:rsidRPr="00C17A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fr-FR" w:eastAsia="es-ES_tradnl"/>
              </w:rPr>
              <w:t>Compétences en matière de recherche</w:t>
            </w:r>
          </w:p>
        </w:tc>
        <w:tc>
          <w:tcPr>
            <w:tcW w:w="3963" w:type="dxa"/>
          </w:tcPr>
          <w:p w:rsidR="00FD429E" w:rsidRPr="002C31C9" w:rsidRDefault="00FD429E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5.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Les conclusions intègrent des recommandations et/ou des implications élaborées par l’auteur.</w:t>
            </w:r>
          </w:p>
        </w:tc>
        <w:tc>
          <w:tcPr>
            <w:tcW w:w="3963" w:type="dxa"/>
            <w:vMerge w:val="restart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6.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Le travail décrit les raisons utilisées pour suggérer les recommandations/implications, mais ne va pas au-delà des preuves ou ne spécule pas (à moins qu'il ne s'agisse clairement d'une opinion).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7.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Argumentation critique, utilisant des arguments bilatéraux.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Fournit suffisamment de détails sur les données et les méthodes pour permettre leur reproduction.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Bien référencé, à la fois dans le texte et dans la liste des références. Utilise systématiquement le style APA.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Fournit des exemples, des histoires et des images lorsque cela est nécessaire. Toutes les images et les figures sont significatives et ont un sens.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D429E" w:rsidRPr="002C31C9" w:rsidTr="00FD429E">
        <w:tc>
          <w:tcPr>
            <w:tcW w:w="4531" w:type="dxa"/>
          </w:tcPr>
          <w:p w:rsidR="00FD429E" w:rsidRPr="002C31C9" w:rsidRDefault="00FD429E" w:rsidP="00FD429E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17A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fr-FR" w:eastAsia="es-ES_tradnl"/>
              </w:rPr>
              <w:t>Style</w:t>
            </w:r>
          </w:p>
        </w:tc>
        <w:tc>
          <w:tcPr>
            <w:tcW w:w="3963" w:type="dxa"/>
          </w:tcPr>
          <w:p w:rsidR="00FD429E" w:rsidRPr="002C31C9" w:rsidRDefault="00FD429E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11.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Utilise un thème unique pour lier le rapport. Dans l'ensemble, le travail raconte une histoire intéressante et facile à suivre.</w:t>
            </w:r>
          </w:p>
        </w:tc>
        <w:tc>
          <w:tcPr>
            <w:tcW w:w="3963" w:type="dxa"/>
            <w:vMerge w:val="restart"/>
          </w:tcPr>
          <w:p w:rsidR="00F734B1" w:rsidRPr="00F734B1" w:rsidRDefault="00F734B1" w:rsidP="00F734B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12.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Fournit des feuilles de route telles qu'une table des matières et des sous-titres informatifs. Utilise des tableaux (ou des graphiques) avec des données pour améliorer la compréhension du lecteur si nécessaire.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13.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Les paragraphes et les sections suivent un ordre cohérent et logique.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14.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L’auteur maîtrise bien le français écrit. Il utilise des mots spécifiques avec une signification concrète et évite les raccourcis.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B544B" w:rsidRPr="002C31C9" w:rsidTr="00FD429E">
        <w:tc>
          <w:tcPr>
            <w:tcW w:w="4531" w:type="dxa"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15.</w:t>
            </w:r>
            <w:r w:rsidRPr="00E0051F">
              <w:rPr>
                <w:lang w:val="fr-FR"/>
              </w:rPr>
              <w:t xml:space="preserve"> </w:t>
            </w:r>
            <w:r w:rsidRPr="00E0051F">
              <w:rPr>
                <w:rFonts w:ascii="Arial" w:hAnsi="Arial" w:cs="Arial"/>
                <w:sz w:val="20"/>
                <w:szCs w:val="20"/>
                <w:lang w:val="fr-FR"/>
              </w:rPr>
              <w:t>Bien écrit, il utilise la prose dans le rapport mais l’écriture est simple. Mots simples et courants ; phrases courtes ; une idée par paragraphe ; pas de mots inutiles ; éviter le jargon (sauf s'il est défini).</w:t>
            </w:r>
          </w:p>
        </w:tc>
        <w:tc>
          <w:tcPr>
            <w:tcW w:w="3963" w:type="dxa"/>
            <w:vMerge/>
          </w:tcPr>
          <w:p w:rsidR="009B544B" w:rsidRPr="002C31C9" w:rsidRDefault="009B544B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D429E" w:rsidRPr="002C31C9" w:rsidTr="00FD429E">
        <w:tc>
          <w:tcPr>
            <w:tcW w:w="4531" w:type="dxa"/>
          </w:tcPr>
          <w:p w:rsidR="00FD429E" w:rsidRPr="009B544B" w:rsidRDefault="009B544B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B544B">
              <w:rPr>
                <w:rFonts w:ascii="Arial" w:hAnsi="Arial" w:cs="Arial"/>
                <w:b/>
                <w:sz w:val="20"/>
                <w:szCs w:val="20"/>
                <w:lang w:val="fr-FR"/>
              </w:rPr>
              <w:t>Aspects éthiques</w:t>
            </w:r>
          </w:p>
        </w:tc>
        <w:tc>
          <w:tcPr>
            <w:tcW w:w="3963" w:type="dxa"/>
          </w:tcPr>
          <w:p w:rsidR="00FD429E" w:rsidRPr="002C31C9" w:rsidRDefault="00FD429E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16.</w:t>
            </w:r>
            <w:r w:rsidRPr="00FD429E">
              <w:rPr>
                <w:lang w:val="fr-FR"/>
              </w:rPr>
              <w:t xml:space="preserve"> </w:t>
            </w:r>
            <w:r w:rsidRPr="00FD429E">
              <w:rPr>
                <w:rFonts w:ascii="Arial" w:hAnsi="Arial" w:cs="Arial"/>
                <w:sz w:val="20"/>
                <w:szCs w:val="20"/>
                <w:lang w:val="fr-FR"/>
              </w:rPr>
              <w:t>% de plagiat et évaluation du plagiat</w:t>
            </w:r>
          </w:p>
        </w:tc>
        <w:tc>
          <w:tcPr>
            <w:tcW w:w="3963" w:type="dxa"/>
            <w:vMerge w:val="restart"/>
          </w:tcPr>
          <w:p w:rsidR="00E0051F" w:rsidRPr="002C31C9" w:rsidRDefault="00E0051F" w:rsidP="00E0051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17.</w:t>
            </w:r>
            <w:r w:rsidRPr="00FD429E">
              <w:rPr>
                <w:lang w:val="fr-FR"/>
              </w:rPr>
              <w:t xml:space="preserve"> </w:t>
            </w:r>
            <w:r w:rsidRPr="00FD429E">
              <w:rPr>
                <w:rFonts w:ascii="Arial" w:hAnsi="Arial" w:cs="Arial"/>
                <w:sz w:val="20"/>
                <w:szCs w:val="20"/>
                <w:lang w:val="fr-FR"/>
              </w:rPr>
              <w:t>Évaluation de l’utilisation de l'IA dans le rapport</w:t>
            </w:r>
          </w:p>
        </w:tc>
        <w:tc>
          <w:tcPr>
            <w:tcW w:w="3963" w:type="dxa"/>
            <w:vMerge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18. </w:t>
            </w:r>
            <w:r w:rsidRPr="00FD429E">
              <w:rPr>
                <w:rFonts w:ascii="Arial" w:hAnsi="Arial" w:cs="Arial"/>
                <w:sz w:val="20"/>
                <w:szCs w:val="20"/>
                <w:lang w:val="fr-FR"/>
              </w:rPr>
              <w:t>Autres aspects éthiques du projet</w:t>
            </w:r>
          </w:p>
        </w:tc>
        <w:tc>
          <w:tcPr>
            <w:tcW w:w="3963" w:type="dxa"/>
            <w:vMerge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63" w:type="dxa"/>
            <w:vMerge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0051F" w:rsidRPr="002C31C9" w:rsidTr="00FD429E">
        <w:tc>
          <w:tcPr>
            <w:tcW w:w="4531" w:type="dxa"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63" w:type="dxa"/>
            <w:vMerge/>
          </w:tcPr>
          <w:p w:rsidR="00E0051F" w:rsidRPr="002C31C9" w:rsidRDefault="00E0051F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734B1" w:rsidRPr="002C31C9" w:rsidTr="00952E55">
        <w:tc>
          <w:tcPr>
            <w:tcW w:w="8494" w:type="dxa"/>
            <w:gridSpan w:val="2"/>
          </w:tcPr>
          <w:p w:rsid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734B1">
              <w:rPr>
                <w:rFonts w:ascii="Arial" w:hAnsi="Arial" w:cs="Arial"/>
                <w:b/>
                <w:sz w:val="20"/>
                <w:szCs w:val="20"/>
                <w:lang w:val="fr-FR"/>
              </w:rPr>
              <w:t>Autres commentaires (par exemple, attitude personnelle et efforts)</w:t>
            </w:r>
          </w:p>
          <w:p w:rsid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B7007" w:rsidRDefault="000B7007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B7007" w:rsidRDefault="000B7007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</w:p>
          <w:p w:rsidR="00F734B1" w:rsidRP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F734B1" w:rsidRPr="002C31C9" w:rsidTr="001247C1">
        <w:tc>
          <w:tcPr>
            <w:tcW w:w="8494" w:type="dxa"/>
            <w:gridSpan w:val="2"/>
          </w:tcPr>
          <w:p w:rsid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734B1">
              <w:rPr>
                <w:rFonts w:ascii="Arial" w:hAnsi="Arial" w:cs="Arial"/>
                <w:b/>
                <w:sz w:val="20"/>
                <w:szCs w:val="20"/>
                <w:lang w:val="fr-FR"/>
              </w:rPr>
              <w:t>Date, nom du tuteur et signature</w:t>
            </w:r>
          </w:p>
          <w:p w:rsid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734B1" w:rsidRPr="00F734B1" w:rsidRDefault="00F734B1" w:rsidP="00F734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F734B1" w:rsidRDefault="00F734B1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F734B1" w:rsidRDefault="00F734B1" w:rsidP="00F734B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María Loreto Cantón Rodríguez</w:t>
            </w:r>
          </w:p>
          <w:p w:rsidR="00F734B1" w:rsidRPr="002C31C9" w:rsidRDefault="00F734B1" w:rsidP="00FD42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B60587" w:rsidRDefault="00B60587">
      <w:pPr>
        <w:rPr>
          <w:rFonts w:ascii="Arial" w:hAnsi="Arial" w:cs="Arial"/>
          <w:sz w:val="20"/>
          <w:szCs w:val="20"/>
          <w:lang w:val="fr-FR"/>
        </w:rPr>
      </w:pPr>
    </w:p>
    <w:p w:rsidR="00F734B1" w:rsidRPr="002C31C9" w:rsidRDefault="00F734B1">
      <w:pPr>
        <w:rPr>
          <w:rFonts w:ascii="Arial" w:hAnsi="Arial" w:cs="Arial"/>
          <w:sz w:val="20"/>
          <w:szCs w:val="20"/>
          <w:lang w:val="fr-FR"/>
        </w:rPr>
      </w:pPr>
    </w:p>
    <w:sectPr w:rsidR="00F734B1" w:rsidRPr="002C3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109"/>
    <w:multiLevelType w:val="hybridMultilevel"/>
    <w:tmpl w:val="46F6B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50D"/>
    <w:multiLevelType w:val="hybridMultilevel"/>
    <w:tmpl w:val="3ADC597E"/>
    <w:lvl w:ilvl="0" w:tplc="826CFE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09"/>
    <w:rsid w:val="000A1C09"/>
    <w:rsid w:val="000B7007"/>
    <w:rsid w:val="002C31C9"/>
    <w:rsid w:val="00522D89"/>
    <w:rsid w:val="0096498B"/>
    <w:rsid w:val="009B544B"/>
    <w:rsid w:val="00AF2326"/>
    <w:rsid w:val="00B60587"/>
    <w:rsid w:val="00E0051F"/>
    <w:rsid w:val="00F734B1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514"/>
  <w15:chartTrackingRefBased/>
  <w15:docId w15:val="{D725754E-D051-4976-8C1B-F3573CBE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2</cp:revision>
  <cp:lastPrinted>2025-07-14T08:44:00Z</cp:lastPrinted>
  <dcterms:created xsi:type="dcterms:W3CDTF">2025-07-14T08:49:00Z</dcterms:created>
  <dcterms:modified xsi:type="dcterms:W3CDTF">2025-07-14T08:49:00Z</dcterms:modified>
</cp:coreProperties>
</file>